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6EDC" w14:textId="77777777" w:rsidR="00AE2F36" w:rsidRDefault="00E065AA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D46E7FC" w14:textId="77777777" w:rsidR="00AE2F36" w:rsidRDefault="00AE2F36"/>
    <w:p w14:paraId="743E5DF9" w14:textId="77777777" w:rsidR="00AE2F36" w:rsidRDefault="00AE2F36"/>
    <w:p w14:paraId="17A818D7" w14:textId="77777777" w:rsidR="00AE2F36" w:rsidRDefault="00E065AA">
      <w:pPr>
        <w:spacing w:after="80"/>
      </w:pPr>
      <w:r>
        <w:rPr>
          <w:b/>
          <w:color w:val="0F62FE"/>
          <w:sz w:val="18"/>
        </w:rPr>
        <w:t>РФ_1.3</w:t>
      </w:r>
    </w:p>
    <w:p w14:paraId="26CD9B7E" w14:textId="77777777" w:rsidR="00AE2F36" w:rsidRDefault="00E065AA">
      <w:r>
        <w:rPr>
          <w:sz w:val="52"/>
        </w:rPr>
        <w:t>Регламент оценки инвестиционных проектов</w:t>
      </w:r>
    </w:p>
    <w:p w14:paraId="38D2EAC5" w14:textId="77777777" w:rsidR="00AE2F36" w:rsidRDefault="00E065AA">
      <w:pPr>
        <w:spacing w:after="320"/>
      </w:pPr>
      <w:r>
        <w:rPr>
          <w:color w:val="525252"/>
          <w:sz w:val="22"/>
        </w:rPr>
        <w:t>Порядок подготовки, оценки, утверждения и контроля инвестиционных проектов</w:t>
      </w:r>
    </w:p>
    <w:p w14:paraId="0E8551AD" w14:textId="77777777" w:rsidR="00AE2F36" w:rsidRDefault="00AE2F36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AE2F36" w14:paraId="46FF980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B9AFF9D" w14:textId="77777777" w:rsidR="00AE2F36" w:rsidRDefault="00E065AA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44CF27D" w14:textId="77777777" w:rsidR="00AE2F36" w:rsidRDefault="00E065AA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AE2F36" w14:paraId="568D3EB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6790144" w14:textId="77777777" w:rsidR="00AE2F36" w:rsidRDefault="00E065AA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B325FAC" w14:textId="77777777" w:rsidR="00AE2F36" w:rsidRDefault="00E065AA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AE2F36" w14:paraId="7151D85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3AD0992" w14:textId="77777777" w:rsidR="00AE2F36" w:rsidRDefault="00E065AA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054D3E6" w14:textId="77777777" w:rsidR="00AE2F36" w:rsidRDefault="00E065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AE2F36" w14:paraId="0A84A69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BE4C3B6" w14:textId="77777777" w:rsidR="00AE2F36" w:rsidRDefault="00E065AA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2351C1F" w14:textId="77777777" w:rsidR="00AE2F36" w:rsidRDefault="00E065AA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AE2F36" w14:paraId="28FC16F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DF85DE1" w14:textId="77777777" w:rsidR="00AE2F36" w:rsidRDefault="00E065AA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C3644D9" w14:textId="77777777" w:rsidR="00AE2F36" w:rsidRDefault="00E065AA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6A08FAC8" w14:textId="77777777" w:rsidR="00AE2F36" w:rsidRDefault="00E065AA">
      <w:r>
        <w:br w:type="page"/>
      </w:r>
    </w:p>
    <w:p w14:paraId="7589C5B0" w14:textId="77777777" w:rsidR="00AE2F36" w:rsidRDefault="00E065AA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1AFDCDEB" w14:textId="4E502446" w:rsidR="00E065AA" w:rsidRDefault="00E065AA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6998" w:history="1">
        <w:r w:rsidRPr="00DF1059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D17708" w14:textId="6CEDA862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6999" w:history="1">
        <w:r w:rsidRPr="00DF1059">
          <w:rPr>
            <w:rStyle w:val="aff8"/>
            <w:noProof/>
          </w:rPr>
          <w:t>2  Что считается инвестиционным проектом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D02C66" w14:textId="611D8AE1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0" w:history="1">
        <w:r w:rsidRPr="00DF1059">
          <w:rPr>
            <w:rStyle w:val="aff8"/>
            <w:noProof/>
          </w:rPr>
          <w:t>3  Обязательные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440B44" w14:textId="6A9E3B50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1" w:history="1">
        <w:r w:rsidRPr="00DF1059">
          <w:rPr>
            <w:rStyle w:val="aff8"/>
            <w:noProof/>
          </w:rPr>
          <w:t>4  Ставка дисконтирования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70EAC0" w14:textId="34144EEE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2" w:history="1">
        <w:r w:rsidRPr="00DF1059">
          <w:rPr>
            <w:rStyle w:val="aff8"/>
            <w:noProof/>
          </w:rPr>
          <w:t>5  Требования к денежному потоку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EA8053" w14:textId="41565EF9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3" w:history="1">
        <w:r w:rsidRPr="00DF1059">
          <w:rPr>
            <w:rStyle w:val="aff8"/>
            <w:noProof/>
          </w:rPr>
          <w:t>6  Анализ рисков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49A8F3" w14:textId="22F6ABEF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4" w:history="1">
        <w:r w:rsidRPr="00DF1059">
          <w:rPr>
            <w:rStyle w:val="aff8"/>
            <w:noProof/>
          </w:rPr>
          <w:t>7  Порядок рассмотрения и утверждения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E33FFA" w14:textId="599994D3" w:rsidR="00E065AA" w:rsidRDefault="00E065AA">
      <w:pPr>
        <w:pStyle w:val="2c"/>
        <w:tabs>
          <w:tab w:val="right" w:leader="dot" w:pos="9629"/>
        </w:tabs>
        <w:rPr>
          <w:noProof/>
        </w:rPr>
      </w:pPr>
      <w:hyperlink w:anchor="_Toc239877005" w:history="1">
        <w:r w:rsidRPr="00DF1059">
          <w:rPr>
            <w:rStyle w:val="aff8"/>
            <w:noProof/>
          </w:rPr>
          <w:t>Состав пакета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1A4184" w14:textId="3F9F5507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6" w:history="1">
        <w:r w:rsidRPr="00DF1059">
          <w:rPr>
            <w:rStyle w:val="aff8"/>
            <w:noProof/>
          </w:rPr>
          <w:t>8  Контроль исполнения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507424" w14:textId="7EC25C4E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7" w:history="1">
        <w:r w:rsidRPr="00DF1059">
          <w:rPr>
            <w:rStyle w:val="aff8"/>
            <w:noProof/>
          </w:rPr>
          <w:t>9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84676B" w14:textId="4785D772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8" w:history="1">
        <w:r w:rsidRPr="00DF1059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801B49" w14:textId="48638FB0" w:rsidR="00E065AA" w:rsidRDefault="00E065AA">
      <w:pPr>
        <w:pStyle w:val="14"/>
        <w:tabs>
          <w:tab w:val="right" w:leader="dot" w:pos="9629"/>
        </w:tabs>
        <w:rPr>
          <w:noProof/>
        </w:rPr>
      </w:pPr>
      <w:hyperlink w:anchor="_Toc239877009" w:history="1">
        <w:r w:rsidRPr="00DF1059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171D484" w14:textId="49A387D4" w:rsidR="00AE2F36" w:rsidRDefault="00E065AA">
      <w:pPr>
        <w:spacing w:before="160"/>
      </w:pPr>
      <w:r>
        <w:fldChar w:fldCharType="end"/>
      </w:r>
    </w:p>
    <w:p w14:paraId="46F2B53A" w14:textId="77777777" w:rsidR="00AE2F36" w:rsidRDefault="00E065AA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681F53C6" w14:textId="77777777" w:rsidR="00AE2F36" w:rsidRDefault="00E065AA">
      <w:r>
        <w:br w:type="page"/>
      </w:r>
    </w:p>
    <w:p w14:paraId="14DDCDBD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0" w:name="_Toc239876998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1C2A9A56" w14:textId="77777777" w:rsidR="00AE2F36" w:rsidRDefault="00E065AA">
      <w:r>
        <w:t>Регламент устанавливает единый порядок оценки инвестиционных проектов в Группа компаний Фирма и обязателен для ООО «Компани</w:t>
      </w:r>
      <w:r>
        <w:t>я», ООО «Торговый дом».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E2F36" w14:paraId="3163C8E4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96FA471" w14:textId="77777777" w:rsidR="00AE2F36" w:rsidRDefault="00E065AA">
            <w:pPr>
              <w:spacing w:after="60"/>
            </w:pPr>
            <w:r>
              <w:rPr>
                <w:b/>
                <w:color w:val="0F62FE"/>
                <w:sz w:val="16"/>
              </w:rPr>
              <w:t>ЗАЧЕМ ЕДИНЫЕ ПРАВИЛА</w:t>
            </w:r>
          </w:p>
          <w:p w14:paraId="3B045CAA" w14:textId="77777777" w:rsidR="00AE2F36" w:rsidRDefault="00E065AA">
            <w:pPr>
              <w:spacing w:after="0"/>
            </w:pPr>
            <w:r>
              <w:rPr>
                <w:sz w:val="20"/>
              </w:rPr>
              <w:t>Когда каждый проект считается по-своему, сравнивать их невозможно, и решение принимает не расчёт, а убедительность докладчика. Единая ставка и единый набор показателей возвращают решение к цифрам.</w:t>
            </w:r>
          </w:p>
        </w:tc>
      </w:tr>
    </w:tbl>
    <w:p w14:paraId="5C1E9237" w14:textId="77777777" w:rsidR="00AE2F36" w:rsidRDefault="00AE2F36">
      <w:pPr>
        <w:spacing w:after="80"/>
      </w:pPr>
    </w:p>
    <w:p w14:paraId="1BDC3B73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1" w:name="_Toc239876999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 xml:space="preserve">Что </w:t>
      </w:r>
      <w:r>
        <w:rPr>
          <w:rFonts w:ascii="Segoe UI" w:hAnsi="Segoe UI"/>
          <w:b w:val="0"/>
          <w:color w:val="161616"/>
          <w:sz w:val="30"/>
        </w:rPr>
        <w:t>считается инвестиционным проектом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AE2F36" w14:paraId="7BEF1A1F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E15ABB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КРИТЕРИЙ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629B5D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AE2F36" w14:paraId="1AF1BA86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CA0136" w14:textId="77777777" w:rsidR="00AE2F36" w:rsidRDefault="00E065AA">
            <w:pPr>
              <w:spacing w:after="40"/>
            </w:pPr>
            <w:r>
              <w:rPr>
                <w:sz w:val="19"/>
              </w:rPr>
              <w:t>Сумма вложений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9D4876" w14:textId="77777777" w:rsidR="00AE2F36" w:rsidRDefault="00E065AA">
            <w:pPr>
              <w:spacing w:after="40"/>
            </w:pPr>
            <w:r>
              <w:rPr>
                <w:sz w:val="19"/>
              </w:rPr>
              <w:t>от 1 000 000 ₽</w:t>
            </w:r>
          </w:p>
        </w:tc>
      </w:tr>
      <w:tr w:rsidR="00AE2F36" w14:paraId="002F21B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8D707C" w14:textId="77777777" w:rsidR="00AE2F36" w:rsidRDefault="00E065AA">
            <w:pPr>
              <w:spacing w:after="40"/>
            </w:pPr>
            <w:r>
              <w:rPr>
                <w:sz w:val="19"/>
              </w:rPr>
              <w:t>Срок отдачи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211BAA" w14:textId="77777777" w:rsidR="00AE2F36" w:rsidRDefault="00E065AA">
            <w:pPr>
              <w:spacing w:after="40"/>
            </w:pPr>
            <w:r>
              <w:rPr>
                <w:sz w:val="19"/>
              </w:rPr>
              <w:t>свыше 12 месяцев</w:t>
            </w:r>
          </w:p>
        </w:tc>
      </w:tr>
      <w:tr w:rsidR="00AE2F36" w14:paraId="32A7BC8B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2C9ACF" w14:textId="77777777" w:rsidR="00AE2F36" w:rsidRDefault="00E065AA">
            <w:pPr>
              <w:spacing w:after="40"/>
            </w:pPr>
            <w:r>
              <w:rPr>
                <w:sz w:val="19"/>
              </w:rPr>
              <w:t>Характер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3BB550" w14:textId="77777777" w:rsidR="00AE2F36" w:rsidRDefault="00E065AA">
            <w:pPr>
              <w:spacing w:after="40"/>
            </w:pPr>
            <w:r>
              <w:rPr>
                <w:sz w:val="19"/>
              </w:rPr>
              <w:t>создание или существенное улучшение актива, выход на новый рынок, запуск продукта, покупка бизнеса</w:t>
            </w:r>
          </w:p>
        </w:tc>
      </w:tr>
    </w:tbl>
    <w:p w14:paraId="67F8EB59" w14:textId="77777777" w:rsidR="00AE2F36" w:rsidRDefault="00AE2F36">
      <w:pPr>
        <w:spacing w:after="80"/>
      </w:pPr>
    </w:p>
    <w:p w14:paraId="5369A0C7" w14:textId="77777777" w:rsidR="00AE2F36" w:rsidRDefault="00E065AA">
      <w:r>
        <w:t xml:space="preserve">Замена вышедшего из строя </w:t>
      </w:r>
      <w:r>
        <w:t>оборудования на аналогичное инвестиционным проектом не считается и финансируется в рамках текущего бюджета.</w:t>
      </w:r>
    </w:p>
    <w:p w14:paraId="1649DE44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2" w:name="_Toc239877000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Обязательные показатели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4195"/>
        <w:gridCol w:w="3402"/>
      </w:tblGrid>
      <w:tr w:rsidR="00AE2F36" w14:paraId="0D013BC2" w14:textId="77777777"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E0A6BA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69071D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ЧТО ОЗНАЧАЕТ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429955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ПОРОГ</w:t>
            </w:r>
          </w:p>
        </w:tc>
      </w:tr>
      <w:tr w:rsidR="00AE2F36" w14:paraId="545410E1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5E27D8" w14:textId="77777777" w:rsidR="00AE2F36" w:rsidRDefault="00E065AA">
            <w:pPr>
              <w:spacing w:after="40"/>
            </w:pPr>
            <w:r>
              <w:rPr>
                <w:sz w:val="19"/>
              </w:rPr>
              <w:t>NPV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2B3CF2" w14:textId="77777777" w:rsidR="00AE2F36" w:rsidRDefault="00E065AA">
            <w:pPr>
              <w:spacing w:after="40"/>
            </w:pPr>
            <w:r>
              <w:rPr>
                <w:sz w:val="19"/>
              </w:rPr>
              <w:t>чистая приведённая стоимость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CDE195" w14:textId="77777777" w:rsidR="00AE2F36" w:rsidRDefault="00E065AA">
            <w:pPr>
              <w:spacing w:after="40"/>
            </w:pPr>
            <w:r>
              <w:rPr>
                <w:sz w:val="19"/>
              </w:rPr>
              <w:t>строго больше нуля</w:t>
            </w:r>
          </w:p>
        </w:tc>
      </w:tr>
      <w:tr w:rsidR="00AE2F36" w14:paraId="7496EC14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187C67" w14:textId="77777777" w:rsidR="00AE2F36" w:rsidRDefault="00E065AA">
            <w:pPr>
              <w:spacing w:after="40"/>
            </w:pPr>
            <w:r>
              <w:rPr>
                <w:sz w:val="19"/>
              </w:rPr>
              <w:t>IRR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694E24" w14:textId="77777777" w:rsidR="00AE2F36" w:rsidRDefault="00E065AA">
            <w:pPr>
              <w:spacing w:after="40"/>
            </w:pPr>
            <w:r>
              <w:rPr>
                <w:sz w:val="19"/>
              </w:rPr>
              <w:t xml:space="preserve">внутренняя норма </w:t>
            </w:r>
            <w:r>
              <w:rPr>
                <w:sz w:val="19"/>
              </w:rPr>
              <w:t>доходности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E782EF" w14:textId="77777777" w:rsidR="00AE2F36" w:rsidRDefault="00E065AA">
            <w:pPr>
              <w:spacing w:after="40"/>
            </w:pPr>
            <w:r>
              <w:rPr>
                <w:sz w:val="19"/>
              </w:rPr>
              <w:t>не ниже ставки дисконтирования плюс 5 п.п.</w:t>
            </w:r>
          </w:p>
        </w:tc>
      </w:tr>
      <w:tr w:rsidR="00AE2F36" w14:paraId="5E3F16E8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EBB2A0" w14:textId="77777777" w:rsidR="00AE2F36" w:rsidRDefault="00E065AA">
            <w:pPr>
              <w:spacing w:after="40"/>
            </w:pPr>
            <w:r>
              <w:rPr>
                <w:sz w:val="19"/>
              </w:rPr>
              <w:t>PI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308B9A" w14:textId="77777777" w:rsidR="00AE2F36" w:rsidRDefault="00E065AA">
            <w:pPr>
              <w:spacing w:after="40"/>
            </w:pPr>
            <w:r>
              <w:rPr>
                <w:sz w:val="19"/>
              </w:rPr>
              <w:t>индекс доходности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6866DE" w14:textId="77777777" w:rsidR="00AE2F36" w:rsidRDefault="00E065AA">
            <w:pPr>
              <w:spacing w:after="40"/>
            </w:pPr>
            <w:r>
              <w:rPr>
                <w:sz w:val="19"/>
              </w:rPr>
              <w:t>не ниже 1,2</w:t>
            </w:r>
          </w:p>
        </w:tc>
      </w:tr>
      <w:tr w:rsidR="00AE2F36" w14:paraId="0DFBA17B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5EAE54" w14:textId="77777777" w:rsidR="00AE2F36" w:rsidRDefault="00E065AA">
            <w:pPr>
              <w:spacing w:after="40"/>
            </w:pPr>
            <w:r>
              <w:rPr>
                <w:sz w:val="19"/>
              </w:rPr>
              <w:t>DPP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52A383" w14:textId="77777777" w:rsidR="00AE2F36" w:rsidRDefault="00E065AA">
            <w:pPr>
              <w:spacing w:after="40"/>
            </w:pPr>
            <w:r>
              <w:rPr>
                <w:sz w:val="19"/>
              </w:rPr>
              <w:t>дисконтированный срок окупаемости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5787A5" w14:textId="77777777" w:rsidR="00AE2F36" w:rsidRDefault="00E065AA">
            <w:pPr>
              <w:spacing w:after="40"/>
            </w:pPr>
            <w:r>
              <w:rPr>
                <w:sz w:val="19"/>
              </w:rPr>
              <w:t>не более 60 % срока жизни проекта</w:t>
            </w:r>
          </w:p>
        </w:tc>
      </w:tr>
      <w:tr w:rsidR="00AE2F36" w14:paraId="3341B144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6EABAD" w14:textId="77777777" w:rsidR="00AE2F36" w:rsidRDefault="00E065AA">
            <w:pPr>
              <w:spacing w:after="40"/>
            </w:pPr>
            <w:r>
              <w:rPr>
                <w:sz w:val="19"/>
              </w:rPr>
              <w:t>Точка безубыточности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BCC3F7" w14:textId="77777777" w:rsidR="00AE2F36" w:rsidRDefault="00E065AA">
            <w:pPr>
              <w:spacing w:after="40"/>
            </w:pPr>
            <w:r>
              <w:rPr>
                <w:sz w:val="19"/>
              </w:rPr>
              <w:t>объём, при котором проект не убыточен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B6DCCE" w14:textId="77777777" w:rsidR="00AE2F36" w:rsidRDefault="00E065AA">
            <w:pPr>
              <w:spacing w:after="40"/>
            </w:pPr>
            <w:r>
              <w:rPr>
                <w:sz w:val="19"/>
              </w:rPr>
              <w:t>не выше 70 % плана продаж</w:t>
            </w:r>
          </w:p>
        </w:tc>
      </w:tr>
    </w:tbl>
    <w:p w14:paraId="7A3A3CCA" w14:textId="77777777" w:rsidR="00AE2F36" w:rsidRDefault="00AE2F36">
      <w:pPr>
        <w:spacing w:after="80"/>
      </w:pPr>
    </w:p>
    <w:p w14:paraId="273B0F57" w14:textId="77777777" w:rsidR="00AE2F36" w:rsidRDefault="00E065AA">
      <w:r>
        <w:t>Проект, не проходящий по NPV, отклоняется независимо от прочих показателей.</w:t>
      </w:r>
      <w:r>
        <w:rPr>
          <w:color w:val="0F62FE"/>
          <w:vertAlign w:val="superscript"/>
        </w:rPr>
        <w:footnoteReference w:id="1"/>
      </w:r>
    </w:p>
    <w:p w14:paraId="1FC83D1F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3" w:name="_Toc239877001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Ставка дисконтирования</w:t>
      </w:r>
      <w:bookmarkEnd w:id="3"/>
    </w:p>
    <w:p w14:paraId="5FDD90CC" w14:textId="77777777" w:rsidR="00AE2F36" w:rsidRDefault="00E065AA">
      <w:r>
        <w:t>Для оценки применяется единая ставка, равная средневзвешенной стоимости капитала группы, увеличенная на премию за риск проекта.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96"/>
        <w:gridCol w:w="3402"/>
      </w:tblGrid>
      <w:tr w:rsidR="00AE2F36" w14:paraId="248E650D" w14:textId="77777777"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08C756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lastRenderedPageBreak/>
              <w:t>ТИП ПРОЕКТА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D4174B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ПРЕМИЯ К WAC</w:t>
            </w:r>
            <w:r>
              <w:rPr>
                <w:b/>
                <w:color w:val="8D949E"/>
                <w:sz w:val="16"/>
              </w:rPr>
              <w:t>C</w:t>
            </w:r>
          </w:p>
        </w:tc>
      </w:tr>
      <w:tr w:rsidR="00AE2F36" w14:paraId="285A22C0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C75E2C" w14:textId="77777777" w:rsidR="00AE2F36" w:rsidRDefault="00E065AA">
            <w:pPr>
              <w:spacing w:after="40"/>
            </w:pPr>
            <w:r>
              <w:rPr>
                <w:sz w:val="19"/>
              </w:rPr>
              <w:t>Замена и модернизация действующего производства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74652C" w14:textId="77777777" w:rsidR="00AE2F36" w:rsidRDefault="00E065AA">
            <w:pPr>
              <w:spacing w:after="40"/>
            </w:pPr>
            <w:r>
              <w:rPr>
                <w:sz w:val="19"/>
              </w:rPr>
              <w:t>0 п.п.</w:t>
            </w:r>
          </w:p>
        </w:tc>
      </w:tr>
      <w:tr w:rsidR="00AE2F36" w14:paraId="1FC17185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F3EA75" w14:textId="77777777" w:rsidR="00AE2F36" w:rsidRDefault="00E065AA">
            <w:pPr>
              <w:spacing w:after="40"/>
            </w:pPr>
            <w:r>
              <w:rPr>
                <w:sz w:val="19"/>
              </w:rPr>
              <w:t>Расширение действующего направления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7641A7" w14:textId="77777777" w:rsidR="00AE2F36" w:rsidRDefault="00E065AA">
            <w:pPr>
              <w:spacing w:after="40"/>
            </w:pPr>
            <w:r>
              <w:rPr>
                <w:sz w:val="19"/>
              </w:rPr>
              <w:t>+2 п.п.</w:t>
            </w:r>
          </w:p>
        </w:tc>
      </w:tr>
      <w:tr w:rsidR="00AE2F36" w14:paraId="19761EB3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2CCA97" w14:textId="77777777" w:rsidR="00AE2F36" w:rsidRDefault="00E065AA">
            <w:pPr>
              <w:spacing w:after="40"/>
            </w:pPr>
            <w:r>
              <w:rPr>
                <w:sz w:val="19"/>
              </w:rPr>
              <w:t>Новый продукт на действующем рынке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64E370" w14:textId="77777777" w:rsidR="00AE2F36" w:rsidRDefault="00E065AA">
            <w:pPr>
              <w:spacing w:after="40"/>
            </w:pPr>
            <w:r>
              <w:rPr>
                <w:sz w:val="19"/>
              </w:rPr>
              <w:t>+4 п.п.</w:t>
            </w:r>
          </w:p>
        </w:tc>
      </w:tr>
      <w:tr w:rsidR="00AE2F36" w14:paraId="5B43D13A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8478CA" w14:textId="77777777" w:rsidR="00AE2F36" w:rsidRDefault="00E065AA">
            <w:pPr>
              <w:spacing w:after="40"/>
            </w:pPr>
            <w:r>
              <w:rPr>
                <w:sz w:val="19"/>
              </w:rPr>
              <w:t>Новый рынок или новое направление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1ACD53" w14:textId="77777777" w:rsidR="00AE2F36" w:rsidRDefault="00E065AA">
            <w:pPr>
              <w:spacing w:after="40"/>
            </w:pPr>
            <w:r>
              <w:rPr>
                <w:sz w:val="19"/>
              </w:rPr>
              <w:t>+7 п.п.</w:t>
            </w:r>
          </w:p>
        </w:tc>
      </w:tr>
      <w:tr w:rsidR="00AE2F36" w14:paraId="0F1A6AFB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BE8373" w14:textId="77777777" w:rsidR="00AE2F36" w:rsidRDefault="00E065AA">
            <w:pPr>
              <w:spacing w:after="40"/>
            </w:pPr>
            <w:r>
              <w:rPr>
                <w:sz w:val="19"/>
              </w:rPr>
              <w:t>Покупка бизнеса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C5A366" w14:textId="77777777" w:rsidR="00AE2F36" w:rsidRDefault="00E065AA">
            <w:pPr>
              <w:spacing w:after="40"/>
            </w:pPr>
            <w:r>
              <w:rPr>
                <w:sz w:val="19"/>
              </w:rPr>
              <w:t>+5 п.п.</w:t>
            </w:r>
          </w:p>
        </w:tc>
      </w:tr>
    </w:tbl>
    <w:p w14:paraId="0386DA62" w14:textId="77777777" w:rsidR="00AE2F36" w:rsidRDefault="00AE2F36">
      <w:pPr>
        <w:spacing w:after="80"/>
      </w:pPr>
    </w:p>
    <w:p w14:paraId="677481BE" w14:textId="77777777" w:rsidR="00AE2F36" w:rsidRDefault="00E065AA">
      <w:r>
        <w:t xml:space="preserve">WACC пересматривается </w:t>
      </w:r>
      <w:r>
        <w:t>финансовым директором раз в полгода и утверждается генеральным директором. Использование индивидуальных ставок инициаторами проектов не допускается.</w:t>
      </w:r>
    </w:p>
    <w:p w14:paraId="7BA2534D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4" w:name="_Toc239877002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Требования к денежному потоку проекта</w:t>
      </w:r>
      <w:bookmarkEnd w:id="4"/>
    </w:p>
    <w:p w14:paraId="1D62A5CA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Поток считается приростным: учитывается только то, что изменится</w:t>
      </w:r>
      <w:r>
        <w:t xml:space="preserve"> из-за проекта.</w:t>
      </w:r>
    </w:p>
    <w:p w14:paraId="6C7EF0C0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Понесённые ранее затраты в расчёт не включаются — они уже потрачены и на решение влиять не должны.</w:t>
      </w:r>
    </w:p>
    <w:p w14:paraId="5CE6E2B2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Учитывается потребность в оборотном капитале и её высвобождение в конце проекта.</w:t>
      </w:r>
    </w:p>
    <w:p w14:paraId="2093A4B4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Учитывается остаточная стоимость активов на конец гори</w:t>
      </w:r>
      <w:r>
        <w:t>зонта.</w:t>
      </w:r>
    </w:p>
    <w:p w14:paraId="5B223F4B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Налог на прибыль считается по действующей ставке с учётом амортизационного щита.</w:t>
      </w:r>
    </w:p>
    <w:p w14:paraId="4BE2F909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Горизонт расчёта — срок полезного использования основного актива, но не более 10 лет.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E2F36" w14:paraId="1EF2EB3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5D78B179" w14:textId="77777777" w:rsidR="00AE2F36" w:rsidRDefault="00E065AA">
            <w:pPr>
              <w:spacing w:after="60"/>
            </w:pPr>
            <w:r>
              <w:rPr>
                <w:b/>
                <w:color w:val="0F62FE"/>
                <w:sz w:val="16"/>
              </w:rPr>
              <w:t>ЧАСТАЯ ОШИБКА</w:t>
            </w:r>
          </w:p>
          <w:p w14:paraId="7A3D5BAD" w14:textId="77777777" w:rsidR="00AE2F36" w:rsidRDefault="00E065AA">
            <w:pPr>
              <w:spacing w:after="0"/>
            </w:pPr>
            <w:r>
              <w:rPr>
                <w:sz w:val="20"/>
              </w:rPr>
              <w:t>В поток проекта включают всю выручку нового направления, забыв в</w:t>
            </w:r>
            <w:r>
              <w:rPr>
                <w:sz w:val="20"/>
              </w:rPr>
              <w:t>ычесть выручку, которую оно отберёт у действующего. Каннибализация считается обязательно и отражается отдельной строкой.</w:t>
            </w:r>
          </w:p>
        </w:tc>
      </w:tr>
    </w:tbl>
    <w:p w14:paraId="68358DA4" w14:textId="77777777" w:rsidR="00AE2F36" w:rsidRDefault="00AE2F36">
      <w:pPr>
        <w:spacing w:after="80"/>
      </w:pPr>
    </w:p>
    <w:p w14:paraId="6987BA6C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5" w:name="_Toc239877003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Анализ рисков</w:t>
      </w:r>
      <w:bookmarkEnd w:id="5"/>
    </w:p>
    <w:p w14:paraId="1707A604" w14:textId="77777777" w:rsidR="00AE2F36" w:rsidRDefault="00E065AA">
      <w:r>
        <w:t xml:space="preserve">К каждому проекту прилагается анализ чувствительности по трём параметрам: объём продаж, цена, ключевая статья </w:t>
      </w:r>
      <w:r>
        <w:t>затрат. Шаг отклонения — минус 10 и 20 %.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6803"/>
      </w:tblGrid>
      <w:tr w:rsidR="00AE2F36" w14:paraId="50A8D893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78A6B2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СЦЕНАРИЙ</w:t>
            </w:r>
          </w:p>
        </w:tc>
        <w:tc>
          <w:tcPr>
            <w:tcW w:w="680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9FB9D3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ЧТО ЗАКЛАДЫВАЕТСЯ</w:t>
            </w:r>
          </w:p>
        </w:tc>
      </w:tr>
      <w:tr w:rsidR="00AE2F36" w14:paraId="5CD20795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89623B" w14:textId="77777777" w:rsidR="00AE2F36" w:rsidRDefault="00E065AA">
            <w:pPr>
              <w:spacing w:after="40"/>
            </w:pPr>
            <w:r>
              <w:rPr>
                <w:sz w:val="19"/>
              </w:rPr>
              <w:t>Базовый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8A61AD" w14:textId="77777777" w:rsidR="00AE2F36" w:rsidRDefault="00E065AA">
            <w:pPr>
              <w:spacing w:after="40"/>
            </w:pPr>
            <w:r>
              <w:rPr>
                <w:sz w:val="19"/>
              </w:rPr>
              <w:t>план проекта как есть</w:t>
            </w:r>
          </w:p>
        </w:tc>
      </w:tr>
      <w:tr w:rsidR="00AE2F36" w14:paraId="2EB91896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79C1E3" w14:textId="77777777" w:rsidR="00AE2F36" w:rsidRDefault="00E065AA">
            <w:pPr>
              <w:spacing w:after="40"/>
            </w:pPr>
            <w:r>
              <w:rPr>
                <w:sz w:val="19"/>
              </w:rPr>
              <w:t>Пессимистичный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0FE460" w14:textId="77777777" w:rsidR="00AE2F36" w:rsidRDefault="00E065AA">
            <w:pPr>
              <w:spacing w:after="40"/>
            </w:pPr>
            <w:r>
              <w:rPr>
                <w:sz w:val="19"/>
              </w:rPr>
              <w:t>объём −20 %, цена −10 %, ключевая статья затрат +15 %</w:t>
            </w:r>
          </w:p>
        </w:tc>
      </w:tr>
      <w:tr w:rsidR="00AE2F36" w14:paraId="7210B5B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F0EC0A" w14:textId="77777777" w:rsidR="00AE2F36" w:rsidRDefault="00E065AA">
            <w:pPr>
              <w:spacing w:after="40"/>
            </w:pPr>
            <w:r>
              <w:rPr>
                <w:sz w:val="19"/>
              </w:rPr>
              <w:t>Оптимистичный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9C024A" w14:textId="77777777" w:rsidR="00AE2F36" w:rsidRDefault="00E065AA">
            <w:pPr>
              <w:spacing w:after="40"/>
            </w:pPr>
            <w:r>
              <w:rPr>
                <w:sz w:val="19"/>
              </w:rPr>
              <w:t>объём +15 %, прочее по базовому</w:t>
            </w:r>
          </w:p>
        </w:tc>
      </w:tr>
    </w:tbl>
    <w:p w14:paraId="0618DA06" w14:textId="77777777" w:rsidR="00AE2F36" w:rsidRDefault="00AE2F36">
      <w:pPr>
        <w:spacing w:after="80"/>
      </w:pPr>
    </w:p>
    <w:p w14:paraId="0270BAE0" w14:textId="77777777" w:rsidR="00AE2F36" w:rsidRDefault="00E065AA">
      <w:r>
        <w:t xml:space="preserve">Проект, дающий </w:t>
      </w:r>
      <w:r>
        <w:t>отрицательный NPV в пессимистичном сценарии, требует отдельного обоснования и решения собственника.</w:t>
      </w:r>
    </w:p>
    <w:p w14:paraId="39BDDAAC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6" w:name="_Toc239877004"/>
      <w:r>
        <w:rPr>
          <w:rFonts w:ascii="Segoe UI" w:hAnsi="Segoe UI"/>
          <w:color w:val="0F62FE"/>
          <w:sz w:val="30"/>
        </w:rPr>
        <w:lastRenderedPageBreak/>
        <w:t xml:space="preserve">7  </w:t>
      </w:r>
      <w:r>
        <w:rPr>
          <w:rFonts w:ascii="Segoe UI" w:hAnsi="Segoe UI"/>
          <w:b w:val="0"/>
          <w:color w:val="161616"/>
          <w:sz w:val="30"/>
        </w:rPr>
        <w:t>Порядок рассмотрения и утверждения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195"/>
        <w:gridCol w:w="2268"/>
      </w:tblGrid>
      <w:tr w:rsidR="00AE2F36" w14:paraId="6E7E50ED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7AD446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СУММА ПРОЕКТА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2E5F77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КТО УТВЕРЖДАЕТ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11307F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СРОК РАССМОТРЕНИЯ</w:t>
            </w:r>
          </w:p>
        </w:tc>
      </w:tr>
      <w:tr w:rsidR="00AE2F36" w14:paraId="77E7EA80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F3774D" w14:textId="77777777" w:rsidR="00AE2F36" w:rsidRDefault="00E065AA">
            <w:pPr>
              <w:spacing w:after="40"/>
            </w:pPr>
            <w:r>
              <w:rPr>
                <w:sz w:val="19"/>
              </w:rPr>
              <w:t>до 3 000 000 ₽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34B1B1" w14:textId="77777777" w:rsidR="00AE2F36" w:rsidRDefault="00E065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91C2B8" w14:textId="77777777" w:rsidR="00AE2F36" w:rsidRDefault="00E065AA">
            <w:pPr>
              <w:spacing w:after="40"/>
            </w:pPr>
            <w:r>
              <w:rPr>
                <w:sz w:val="19"/>
              </w:rPr>
              <w:t>5 рабочих дней</w:t>
            </w:r>
          </w:p>
        </w:tc>
      </w:tr>
      <w:tr w:rsidR="00AE2F36" w14:paraId="28295E4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1C32A7" w14:textId="77777777" w:rsidR="00AE2F36" w:rsidRDefault="00E065AA">
            <w:pPr>
              <w:spacing w:after="40"/>
            </w:pPr>
            <w:r>
              <w:rPr>
                <w:sz w:val="19"/>
              </w:rPr>
              <w:t xml:space="preserve">от 3 до 15 000 </w:t>
            </w:r>
            <w:r>
              <w:rPr>
                <w:sz w:val="19"/>
              </w:rPr>
              <w:t>000 ₽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CFF7C7" w14:textId="77777777" w:rsidR="00AE2F36" w:rsidRDefault="00E065A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614F3B" w14:textId="77777777" w:rsidR="00AE2F36" w:rsidRDefault="00E065AA">
            <w:pPr>
              <w:spacing w:after="40"/>
            </w:pPr>
            <w:r>
              <w:rPr>
                <w:sz w:val="19"/>
              </w:rPr>
              <w:t>10 рабочих дней</w:t>
            </w:r>
          </w:p>
        </w:tc>
      </w:tr>
      <w:tr w:rsidR="00AE2F36" w14:paraId="3AF4085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12AD72" w14:textId="77777777" w:rsidR="00AE2F36" w:rsidRDefault="00E065AA">
            <w:pPr>
              <w:spacing w:after="40"/>
            </w:pPr>
            <w:r>
              <w:rPr>
                <w:sz w:val="19"/>
              </w:rPr>
              <w:t>свыше 15 000 000 ₽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94DE95" w14:textId="77777777" w:rsidR="00AE2F36" w:rsidRDefault="00E065AA">
            <w:pPr>
              <w:spacing w:after="40"/>
            </w:pPr>
            <w:r>
              <w:rPr>
                <w:sz w:val="19"/>
              </w:rPr>
              <w:t>собственник по представлению генерального директора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2BD0BF" w14:textId="77777777" w:rsidR="00AE2F36" w:rsidRDefault="00E065AA">
            <w:pPr>
              <w:spacing w:after="40"/>
            </w:pPr>
            <w:r>
              <w:rPr>
                <w:sz w:val="19"/>
              </w:rPr>
              <w:t>15 рабочих дней</w:t>
            </w:r>
          </w:p>
        </w:tc>
      </w:tr>
    </w:tbl>
    <w:p w14:paraId="3EF0494B" w14:textId="77777777" w:rsidR="00AE2F36" w:rsidRDefault="00AE2F36">
      <w:pPr>
        <w:spacing w:after="80"/>
      </w:pPr>
    </w:p>
    <w:p w14:paraId="2338A6BA" w14:textId="77777777" w:rsidR="00AE2F36" w:rsidRDefault="00E065AA">
      <w:pPr>
        <w:pStyle w:val="21"/>
        <w:spacing w:before="220" w:after="40"/>
      </w:pPr>
      <w:bookmarkStart w:id="7" w:name="_Toc239877005"/>
      <w:r>
        <w:rPr>
          <w:rFonts w:ascii="Segoe UI" w:hAnsi="Segoe UI"/>
          <w:color w:val="161616"/>
          <w:sz w:val="22"/>
        </w:rPr>
        <w:t>Состав пакета документов</w:t>
      </w:r>
      <w:bookmarkEnd w:id="7"/>
    </w:p>
    <w:p w14:paraId="4F60F74D" w14:textId="77777777" w:rsidR="00AE2F36" w:rsidRDefault="00E065AA">
      <w:pPr>
        <w:spacing w:after="60"/>
        <w:ind w:left="397"/>
      </w:pPr>
      <w:r>
        <w:rPr>
          <w:color w:val="0F62FE"/>
        </w:rPr>
        <w:t xml:space="preserve">1) </w:t>
      </w:r>
      <w:r>
        <w:t>финансовая модель в формате, принятом в Компании, с раскрытыми формулами;</w:t>
      </w:r>
    </w:p>
    <w:p w14:paraId="55FC149F" w14:textId="77777777" w:rsidR="00AE2F36" w:rsidRDefault="00E065AA">
      <w:pPr>
        <w:spacing w:after="60"/>
        <w:ind w:left="397"/>
      </w:pPr>
      <w:r>
        <w:rPr>
          <w:color w:val="0F62FE"/>
        </w:rPr>
        <w:t xml:space="preserve">2) </w:t>
      </w:r>
      <w:r>
        <w:t xml:space="preserve">описание </w:t>
      </w:r>
      <w:r>
        <w:t>проекта: что делаем, зачем, кто отвечает, сроки;</w:t>
      </w:r>
    </w:p>
    <w:p w14:paraId="42AFF4D3" w14:textId="77777777" w:rsidR="00AE2F36" w:rsidRDefault="00E065AA">
      <w:pPr>
        <w:spacing w:after="60"/>
        <w:ind w:left="397"/>
      </w:pPr>
      <w:r>
        <w:rPr>
          <w:color w:val="0F62FE"/>
        </w:rPr>
        <w:t xml:space="preserve">3) </w:t>
      </w:r>
      <w:r>
        <w:t>обоснование объёма продаж и цен со ссылкой на источники;</w:t>
      </w:r>
    </w:p>
    <w:p w14:paraId="73500D0E" w14:textId="77777777" w:rsidR="00AE2F36" w:rsidRDefault="00E065AA">
      <w:pPr>
        <w:spacing w:after="60"/>
        <w:ind w:left="397"/>
      </w:pPr>
      <w:r>
        <w:rPr>
          <w:color w:val="0F62FE"/>
        </w:rPr>
        <w:t xml:space="preserve">4) </w:t>
      </w:r>
      <w:r>
        <w:t>анализ чувствительности и сценарии;</w:t>
      </w:r>
    </w:p>
    <w:p w14:paraId="6111BA16" w14:textId="77777777" w:rsidR="00AE2F36" w:rsidRDefault="00E065AA">
      <w:pPr>
        <w:spacing w:after="60"/>
        <w:ind w:left="397"/>
      </w:pPr>
      <w:r>
        <w:rPr>
          <w:color w:val="0F62FE"/>
        </w:rPr>
        <w:t xml:space="preserve">5) </w:t>
      </w:r>
      <w:r>
        <w:t>перечень рисков и мер по их снижению;</w:t>
      </w:r>
    </w:p>
    <w:p w14:paraId="001CBC55" w14:textId="77777777" w:rsidR="00AE2F36" w:rsidRDefault="00E065AA">
      <w:pPr>
        <w:spacing w:after="60"/>
        <w:ind w:left="397"/>
      </w:pPr>
      <w:r>
        <w:rPr>
          <w:color w:val="0F62FE"/>
        </w:rPr>
        <w:t xml:space="preserve">6) </w:t>
      </w:r>
      <w:r>
        <w:t>план-график с контрольными точками.</w:t>
      </w:r>
    </w:p>
    <w:p w14:paraId="6971B04A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8" w:name="_Toc239877006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Контроль исполнения</w:t>
      </w:r>
      <w:bookmarkEnd w:id="8"/>
    </w:p>
    <w:p w14:paraId="4984F58E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Фин</w:t>
      </w:r>
      <w:r>
        <w:t>ансирование открывается траншами по контрольным точкам, а не единовременно.</w:t>
      </w:r>
    </w:p>
    <w:p w14:paraId="0CCD1551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Превышение бюджета проекта более чем на 10 % требует повторного утверждения.</w:t>
      </w:r>
    </w:p>
    <w:p w14:paraId="32B777E7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Отчёт о ходе проекта представляется ежеквартально.</w:t>
      </w:r>
    </w:p>
    <w:p w14:paraId="437FAA97" w14:textId="77777777" w:rsidR="00AE2F36" w:rsidRDefault="00E065AA">
      <w:pPr>
        <w:spacing w:after="60"/>
        <w:ind w:left="397"/>
      </w:pPr>
      <w:r>
        <w:rPr>
          <w:color w:val="8D949E"/>
        </w:rPr>
        <w:t xml:space="preserve">— </w:t>
      </w:r>
      <w:r>
        <w:t>Через 12 месяцев после запуска проводится обяз</w:t>
      </w:r>
      <w:r>
        <w:t>ательная оценка фактических результатов в сравнении с планом.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E2F36" w14:paraId="71BB2349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3C03C3F" w14:textId="77777777" w:rsidR="00AE2F36" w:rsidRDefault="00E065AA">
            <w:pPr>
              <w:spacing w:after="60"/>
            </w:pPr>
            <w:r>
              <w:rPr>
                <w:b/>
                <w:color w:val="0F62FE"/>
                <w:sz w:val="16"/>
              </w:rPr>
              <w:t>ОЦЕНКА ПО ФАКТУ — НЕ ФОРМАЛЬНОСТЬ</w:t>
            </w:r>
          </w:p>
          <w:p w14:paraId="50D40B1C" w14:textId="77777777" w:rsidR="00AE2F36" w:rsidRDefault="00E065AA">
            <w:pPr>
              <w:spacing w:after="0"/>
            </w:pPr>
            <w:r>
              <w:rPr>
                <w:sz w:val="20"/>
              </w:rPr>
              <w:t>Сравнение факта с планом через год делает следующие расчёты честнее: инициатор, знающий, что его прогноз проверят, планирует аккуратнее. Результаты оценки храня</w:t>
            </w:r>
            <w:r>
              <w:rPr>
                <w:sz w:val="20"/>
              </w:rPr>
              <w:t>тся и учитываются при рассмотрении новых проектов того же инициатора.</w:t>
            </w:r>
          </w:p>
        </w:tc>
      </w:tr>
    </w:tbl>
    <w:p w14:paraId="334599DC" w14:textId="77777777" w:rsidR="00AE2F36" w:rsidRDefault="00AE2F36">
      <w:pPr>
        <w:spacing w:after="80"/>
      </w:pPr>
    </w:p>
    <w:p w14:paraId="102C6DF5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9" w:name="_Toc239877007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9"/>
    </w:p>
    <w:p w14:paraId="13830C19" w14:textId="77777777" w:rsidR="00AE2F36" w:rsidRDefault="00E065AA">
      <w:r>
        <w:t xml:space="preserve">Инициатор проекта отвечает за достоверность исходных данных, финансовый директор — за корректность методики расчёта, руководитель проекта — за исполнение </w:t>
      </w:r>
      <w:r>
        <w:t>бюджета и сроков.</w:t>
      </w:r>
    </w:p>
    <w:p w14:paraId="2573E87C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10" w:name="_Toc239877008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6AAAA8DF" w14:textId="77777777" w:rsidR="00AE2F36" w:rsidRDefault="00E065AA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01D6C52" w14:textId="77777777" w:rsidR="00AE2F36" w:rsidRDefault="00E065AA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73D1628C" w14:textId="77777777" w:rsidR="00AE2F36" w:rsidRDefault="00E065AA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Проверьте суммы и </w:t>
      </w:r>
      <w:r>
        <w:t>сроки: они подобраны для средней компании и почти наверняка требуют настройки под ваш масштаб.</w:t>
      </w:r>
    </w:p>
    <w:p w14:paraId="42BE901E" w14:textId="77777777" w:rsidR="00AE2F36" w:rsidRDefault="00E065AA">
      <w:pPr>
        <w:spacing w:after="60"/>
        <w:ind w:left="397"/>
      </w:pPr>
      <w:r>
        <w:rPr>
          <w:color w:val="0F62FE"/>
        </w:rPr>
        <w:lastRenderedPageBreak/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23ABA119" w14:textId="77777777" w:rsidR="00AE2F36" w:rsidRDefault="00E065AA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</w:t>
      </w:r>
      <w:r>
        <w:t>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E2F36" w14:paraId="3924616C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A4FF987" w14:textId="77777777" w:rsidR="00AE2F36" w:rsidRDefault="00E065AA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43BA3A9C" w14:textId="77777777" w:rsidR="00AE2F36" w:rsidRDefault="00AE2F36">
      <w:pPr>
        <w:spacing w:after="80"/>
      </w:pPr>
    </w:p>
    <w:p w14:paraId="5A674C5C" w14:textId="77777777" w:rsidR="00AE2F36" w:rsidRDefault="00E065AA">
      <w:pPr>
        <w:pStyle w:val="1"/>
        <w:pBdr>
          <w:bottom w:val="single" w:sz="8" w:space="2" w:color="0F62FE"/>
        </w:pBdr>
        <w:spacing w:before="360" w:after="80"/>
      </w:pPr>
      <w:bookmarkStart w:id="11" w:name="_Toc239877009"/>
      <w:r>
        <w:rPr>
          <w:rFonts w:ascii="Segoe UI" w:hAnsi="Segoe UI"/>
          <w:b w:val="0"/>
          <w:color w:val="161616"/>
          <w:sz w:val="30"/>
        </w:rPr>
        <w:t>Лист согласовани</w:t>
      </w:r>
      <w:r>
        <w:rPr>
          <w:rFonts w:ascii="Segoe UI" w:hAnsi="Segoe UI"/>
          <w:b w:val="0"/>
          <w:color w:val="161616"/>
          <w:sz w:val="30"/>
        </w:rPr>
        <w:t>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AE2F36" w14:paraId="1E6B788C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E94F85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9C82F2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871C0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10CBEA" w14:textId="77777777" w:rsidR="00AE2F36" w:rsidRDefault="00E065AA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AE2F36" w14:paraId="0B69967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FC509A" w14:textId="77777777" w:rsidR="00AE2F36" w:rsidRDefault="00E065A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ACF132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ADEF6B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C6B70F" w14:textId="77777777" w:rsidR="00AE2F36" w:rsidRDefault="00AE2F36">
            <w:pPr>
              <w:spacing w:after="40"/>
            </w:pPr>
          </w:p>
        </w:tc>
      </w:tr>
      <w:tr w:rsidR="00AE2F36" w14:paraId="1B6EFD95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BE08CD" w14:textId="77777777" w:rsidR="00AE2F36" w:rsidRDefault="00E065A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649BCE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BA0714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AE4A8E" w14:textId="77777777" w:rsidR="00AE2F36" w:rsidRDefault="00AE2F36">
            <w:pPr>
              <w:spacing w:after="40"/>
            </w:pPr>
          </w:p>
        </w:tc>
      </w:tr>
      <w:tr w:rsidR="00AE2F36" w14:paraId="3B9989F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03085C" w14:textId="77777777" w:rsidR="00AE2F36" w:rsidRDefault="00E065AA">
            <w:pPr>
              <w:spacing w:after="40"/>
            </w:pPr>
            <w:r>
              <w:rPr>
                <w:sz w:val="19"/>
              </w:rPr>
              <w:t>Директор по развитию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6472FB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9C04EB" w14:textId="77777777" w:rsidR="00AE2F36" w:rsidRDefault="00AE2F36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75570F" w14:textId="77777777" w:rsidR="00AE2F36" w:rsidRDefault="00AE2F36">
            <w:pPr>
              <w:spacing w:after="40"/>
            </w:pPr>
          </w:p>
        </w:tc>
      </w:tr>
    </w:tbl>
    <w:p w14:paraId="0C4E35A1" w14:textId="77777777" w:rsidR="00AE2F36" w:rsidRDefault="00AE2F36">
      <w:pPr>
        <w:spacing w:after="80"/>
      </w:pPr>
    </w:p>
    <w:sectPr w:rsidR="00AE2F36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AC34" w14:textId="77777777" w:rsidR="00000000" w:rsidRDefault="00E065AA">
      <w:pPr>
        <w:spacing w:after="0" w:line="240" w:lineRule="auto"/>
      </w:pPr>
      <w:r>
        <w:separator/>
      </w:r>
    </w:p>
  </w:endnote>
  <w:endnote w:type="continuationSeparator" w:id="0">
    <w:p w14:paraId="78866B30" w14:textId="77777777" w:rsidR="00000000" w:rsidRDefault="00E0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CA33" w14:textId="77777777" w:rsidR="00AE2F36" w:rsidRDefault="00E065AA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РФ_1.3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08C1" w14:textId="77777777" w:rsidR="00000000" w:rsidRDefault="00E065AA">
      <w:pPr>
        <w:spacing w:after="0" w:line="240" w:lineRule="auto"/>
      </w:pPr>
      <w:r>
        <w:separator/>
      </w:r>
    </w:p>
  </w:footnote>
  <w:footnote w:type="continuationSeparator" w:id="0">
    <w:p w14:paraId="1D9EF1A2" w14:textId="77777777" w:rsidR="00000000" w:rsidRDefault="00E065AA">
      <w:pPr>
        <w:spacing w:after="0" w:line="240" w:lineRule="auto"/>
      </w:pPr>
      <w:r>
        <w:continuationSeparator/>
      </w:r>
    </w:p>
  </w:footnote>
  <w:footnote w:id="1">
    <w:p w14:paraId="3455B619" w14:textId="77777777" w:rsidR="00AE2F36" w:rsidRDefault="00E065AA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NPV — единственный показатель, прямо отвечающий на вопрос «станет ли компания дороже». IRR и срок окупаемости лишь описывают, как именно.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D1656" w14:textId="77777777" w:rsidR="00AE2F36" w:rsidRDefault="00E065AA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17D6D133" wp14:editId="27243D7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оценки инвестиционных проектов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2F36"/>
    <w:rsid w:val="00B47730"/>
    <w:rsid w:val="00CB0664"/>
    <w:rsid w:val="00E065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F133F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E065AA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E065AA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E06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839</Words>
  <Characters>5231</Characters>
  <Application>Microsoft Office Word</Application>
  <DocSecurity>0</DocSecurity>
  <Lines>194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